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529C7A7E" w:rsidR="00F54A6E" w:rsidRPr="004F70AD" w:rsidRDefault="00F54A6E" w:rsidP="0011340F">
      <w:pPr>
        <w:tabs>
          <w:tab w:val="right" w:pos="9639"/>
        </w:tabs>
        <w:spacing w:after="0"/>
        <w:jc w:val="both"/>
        <w:rPr>
          <w:rFonts w:ascii="Arial" w:hAnsi="Arial"/>
          <w:b/>
          <w:i/>
          <w:noProof/>
          <w:sz w:val="28"/>
          <w:lang w:eastAsia="ko-KR"/>
        </w:rPr>
      </w:pPr>
      <w:bookmarkStart w:id="0" w:name="_GoBack"/>
      <w:bookmarkEnd w:id="0"/>
      <w:r w:rsidRPr="004F70AD">
        <w:rPr>
          <w:rFonts w:ascii="Arial" w:hAnsi="Arial"/>
          <w:b/>
          <w:noProof/>
          <w:sz w:val="24"/>
        </w:rPr>
        <w:t>3GPP TSG-RAN WG2 Meeting #11</w:t>
      </w:r>
      <w:r w:rsidR="00B37B2D">
        <w:rPr>
          <w:rFonts w:ascii="Arial" w:hAnsi="Arial"/>
          <w:b/>
          <w:noProof/>
          <w:sz w:val="24"/>
        </w:rPr>
        <w:t>6bis-</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990CBD" w:rsidRPr="00990CBD">
        <w:t xml:space="preserve"> </w:t>
      </w:r>
      <w:r w:rsidR="00985475" w:rsidRPr="00985475">
        <w:rPr>
          <w:rFonts w:ascii="Arial" w:hAnsi="Arial"/>
          <w:b/>
          <w:i/>
          <w:noProof/>
          <w:sz w:val="28"/>
          <w:lang w:eastAsia="ko-KR"/>
        </w:rPr>
        <w:t>2201370</w:t>
      </w:r>
    </w:p>
    <w:p w14:paraId="243BA821" w14:textId="3E459566" w:rsidR="00A62464" w:rsidRDefault="00A62464" w:rsidP="0011340F">
      <w:pPr>
        <w:widowControl w:val="0"/>
        <w:tabs>
          <w:tab w:val="left" w:pos="1701"/>
          <w:tab w:val="right" w:pos="9923"/>
        </w:tabs>
        <w:spacing w:before="120" w:after="0"/>
        <w:jc w:val="both"/>
        <w:rPr>
          <w:rFonts w:ascii="Arial" w:eastAsiaTheme="minorEastAsia" w:hAnsi="Arial"/>
          <w:b/>
          <w:sz w:val="24"/>
          <w:szCs w:val="24"/>
          <w:lang w:eastAsia="ko-KR"/>
        </w:rPr>
      </w:pPr>
      <w:r w:rsidRPr="002C2514">
        <w:rPr>
          <w:rFonts w:ascii="Arial" w:hAnsi="Arial"/>
          <w:b/>
          <w:noProof/>
          <w:sz w:val="24"/>
        </w:rPr>
        <w:t xml:space="preserve">Online, </w:t>
      </w:r>
      <w:r w:rsidR="00B37B2D">
        <w:rPr>
          <w:rFonts w:ascii="Arial" w:hAnsi="Arial"/>
          <w:b/>
          <w:noProof/>
          <w:sz w:val="24"/>
        </w:rPr>
        <w:t>Jan</w:t>
      </w:r>
      <w:r w:rsidRPr="002C2514">
        <w:rPr>
          <w:rFonts w:ascii="Arial" w:hAnsi="Arial"/>
          <w:b/>
          <w:noProof/>
          <w:sz w:val="24"/>
        </w:rPr>
        <w:t xml:space="preserve"> 1</w:t>
      </w:r>
      <w:r w:rsidR="00B37B2D">
        <w:rPr>
          <w:rFonts w:ascii="Arial" w:hAnsi="Arial"/>
          <w:b/>
          <w:noProof/>
          <w:sz w:val="24"/>
        </w:rPr>
        <w:t>7</w:t>
      </w:r>
      <w:r w:rsidRPr="002C2514">
        <w:rPr>
          <w:rFonts w:ascii="Arial" w:hAnsi="Arial"/>
          <w:b/>
          <w:noProof/>
          <w:sz w:val="24"/>
        </w:rPr>
        <w:t xml:space="preserve"> – </w:t>
      </w:r>
      <w:r w:rsidR="00B37B2D">
        <w:rPr>
          <w:rFonts w:ascii="Arial" w:hAnsi="Arial"/>
          <w:b/>
          <w:noProof/>
          <w:sz w:val="24"/>
        </w:rPr>
        <w:t>Jan</w:t>
      </w:r>
      <w:r w:rsidRPr="002C2514">
        <w:rPr>
          <w:rFonts w:ascii="Arial" w:hAnsi="Arial"/>
          <w:b/>
          <w:noProof/>
          <w:sz w:val="24"/>
        </w:rPr>
        <w:t xml:space="preserve"> 2</w:t>
      </w:r>
      <w:r w:rsidR="00B37B2D">
        <w:rPr>
          <w:rFonts w:ascii="Arial" w:hAnsi="Arial"/>
          <w:b/>
          <w:noProof/>
          <w:sz w:val="24"/>
        </w:rPr>
        <w:t>5</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rsidP="0011340F">
      <w:pPr>
        <w:pStyle w:val="CRCoverPage"/>
        <w:tabs>
          <w:tab w:val="right" w:pos="9639"/>
        </w:tabs>
        <w:spacing w:after="0"/>
        <w:jc w:val="both"/>
        <w:rPr>
          <w:rFonts w:eastAsia="맑은 고딕"/>
          <w:b/>
          <w:noProof/>
          <w:sz w:val="24"/>
          <w:lang w:eastAsia="ko-KR"/>
        </w:rPr>
      </w:pPr>
    </w:p>
    <w:p w14:paraId="168775D0" w14:textId="74EFA382" w:rsidR="00D4259F" w:rsidRPr="00D05067" w:rsidRDefault="00B02523" w:rsidP="0011340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6595E">
        <w:rPr>
          <w:rFonts w:ascii="Arial" w:hAnsi="Arial" w:cs="Arial"/>
          <w:b/>
          <w:noProof/>
          <w:sz w:val="28"/>
          <w:szCs w:val="28"/>
          <w:lang w:val="en-US"/>
        </w:rPr>
        <w:t>8.1.3.1</w:t>
      </w:r>
    </w:p>
    <w:p w14:paraId="65BF601C" w14:textId="77777777" w:rsidR="00D4259F" w:rsidRDefault="00B02523" w:rsidP="0011340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268D3C01" w:rsidR="00D4259F" w:rsidRDefault="00B02523" w:rsidP="0011340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E27527">
        <w:rPr>
          <w:rFonts w:ascii="Arial" w:hAnsi="Arial" w:cs="Arial"/>
          <w:b/>
          <w:noProof/>
          <w:sz w:val="28"/>
          <w:szCs w:val="28"/>
          <w:lang w:val="en-US"/>
        </w:rPr>
        <w:t>Remaining issues for MII</w:t>
      </w:r>
    </w:p>
    <w:p w14:paraId="4ABAC09E" w14:textId="77777777" w:rsidR="00D4259F" w:rsidRDefault="00B02523" w:rsidP="0011340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rsidP="0011340F">
      <w:pPr>
        <w:pStyle w:val="1"/>
        <w:jc w:val="both"/>
        <w:rPr>
          <w:rFonts w:ascii="Times New Roman" w:hAnsi="Times New Roman"/>
          <w:lang w:val="en-US" w:eastAsia="ko-KR"/>
        </w:rPr>
      </w:pPr>
      <w:r>
        <w:rPr>
          <w:rFonts w:hint="eastAsia"/>
          <w:lang w:val="en-US" w:eastAsia="ko-KR"/>
        </w:rPr>
        <w:t>1. Introduction</w:t>
      </w:r>
    </w:p>
    <w:p w14:paraId="3E63E598" w14:textId="2072C369" w:rsidR="008F2E7C" w:rsidRDefault="008F2E7C" w:rsidP="008F2E7C">
      <w:pPr>
        <w:jc w:val="both"/>
        <w:rPr>
          <w:lang w:val="en-US" w:eastAsia="ko-KR"/>
        </w:rPr>
      </w:pPr>
      <w:r>
        <w:rPr>
          <w:rFonts w:hint="eastAsia"/>
          <w:lang w:val="en-US" w:eastAsia="ko-KR"/>
        </w:rPr>
        <w:t>In RAN2#115e</w:t>
      </w:r>
      <w:r>
        <w:rPr>
          <w:lang w:val="en-US" w:eastAsia="ko-KR"/>
        </w:rPr>
        <w:t>-</w:t>
      </w:r>
      <w:r>
        <w:rPr>
          <w:rFonts w:hint="eastAsia"/>
          <w:lang w:val="en-US" w:eastAsia="ko-KR"/>
        </w:rPr>
        <w:t xml:space="preserve">meeting, </w:t>
      </w:r>
      <w:r>
        <w:rPr>
          <w:lang w:val="en-US" w:eastAsia="ko-KR"/>
        </w:rPr>
        <w:t>the following agreements were made:</w:t>
      </w:r>
    </w:p>
    <w:tbl>
      <w:tblPr>
        <w:tblStyle w:val="af4"/>
        <w:tblW w:w="0" w:type="auto"/>
        <w:tblLook w:val="04A0" w:firstRow="1" w:lastRow="0" w:firstColumn="1" w:lastColumn="0" w:noHBand="0" w:noVBand="1"/>
      </w:tblPr>
      <w:tblGrid>
        <w:gridCol w:w="9631"/>
      </w:tblGrid>
      <w:tr w:rsidR="008F2E7C" w14:paraId="39AC046A" w14:textId="77777777" w:rsidTr="00D0360D">
        <w:tc>
          <w:tcPr>
            <w:tcW w:w="9631" w:type="dxa"/>
          </w:tcPr>
          <w:p w14:paraId="196BC6D2" w14:textId="77777777" w:rsidR="008F2E7C" w:rsidRPr="00C31CF4" w:rsidRDefault="008F2E7C" w:rsidP="00D0360D">
            <w:pPr>
              <w:rPr>
                <w:bCs/>
                <w:lang w:eastAsia="ko-KR"/>
              </w:rPr>
            </w:pPr>
            <w:r w:rsidRPr="00C31CF4">
              <w:rPr>
                <w:bCs/>
                <w:lang w:eastAsia="ko-KR"/>
              </w:rPr>
              <w:t>Agreements @RAN2#115</w:t>
            </w:r>
            <w:r>
              <w:rPr>
                <w:bCs/>
                <w:lang w:eastAsia="ko-KR"/>
              </w:rPr>
              <w:t>-e</w:t>
            </w:r>
            <w:r w:rsidRPr="00C31CF4">
              <w:rPr>
                <w:bCs/>
                <w:lang w:eastAsia="ko-KR"/>
              </w:rPr>
              <w:t>:</w:t>
            </w:r>
          </w:p>
          <w:p w14:paraId="56B72E85" w14:textId="77777777" w:rsidR="008F2E7C" w:rsidRPr="00C31CF4" w:rsidRDefault="008F2E7C" w:rsidP="00D0360D">
            <w:pPr>
              <w:pStyle w:val="afa"/>
              <w:numPr>
                <w:ilvl w:val="0"/>
                <w:numId w:val="12"/>
              </w:numPr>
              <w:ind w:leftChars="0"/>
              <w:jc w:val="left"/>
              <w:rPr>
                <w:rFonts w:ascii="Times New Roman" w:hAnsi="Times New Roman"/>
                <w:bCs/>
              </w:rPr>
            </w:pPr>
            <w:r w:rsidRPr="00C31CF4">
              <w:rPr>
                <w:rFonts w:ascii="Times New Roman" w:hAnsi="Times New Roman"/>
                <w:bCs/>
              </w:rPr>
              <w:t>For CONNECTED:</w:t>
            </w:r>
          </w:p>
          <w:p w14:paraId="4C80820D" w14:textId="77777777" w:rsidR="008F2E7C" w:rsidRDefault="008F2E7C" w:rsidP="00D0360D">
            <w:pPr>
              <w:pStyle w:val="Agreement"/>
              <w:numPr>
                <w:ilvl w:val="0"/>
                <w:numId w:val="11"/>
              </w:numPr>
              <w:tabs>
                <w:tab w:val="left" w:pos="1619"/>
              </w:tabs>
              <w:spacing w:line="259" w:lineRule="auto"/>
              <w:rPr>
                <w:rFonts w:ascii="Times New Roman" w:hAnsi="Times New Roman"/>
                <w:b w:val="0"/>
              </w:rPr>
            </w:pPr>
            <w:r w:rsidRPr="00C31CF4">
              <w:rPr>
                <w:rFonts w:ascii="Times New Roman" w:hAnsi="Times New Roman"/>
                <w:b w:val="0"/>
              </w:rPr>
              <w:t xml:space="preserve">The UE reports the following MBS interest information (as LTE SC-PTM): </w:t>
            </w:r>
            <w:r w:rsidRPr="00C31CF4">
              <w:rPr>
                <w:rFonts w:ascii="Times New Roman" w:hAnsi="Times New Roman"/>
                <w:b w:val="0"/>
              </w:rPr>
              <w:br/>
              <w:t xml:space="preserve">- MBS frequency list </w:t>
            </w:r>
            <w:r w:rsidRPr="00C31CF4">
              <w:rPr>
                <w:rFonts w:ascii="Times New Roman" w:hAnsi="Times New Roman"/>
                <w:b w:val="0"/>
              </w:rPr>
              <w:br/>
              <w:t>- priority between the reception of all listed MBMS frequencies and the reception of any unicast bearer</w:t>
            </w:r>
            <w:r w:rsidRPr="00C31CF4">
              <w:rPr>
                <w:rFonts w:ascii="Times New Roman" w:hAnsi="Times New Roman"/>
                <w:b w:val="0"/>
              </w:rPr>
              <w:br/>
              <w:t>- TMGI list</w:t>
            </w:r>
          </w:p>
          <w:p w14:paraId="790A0F7A" w14:textId="77777777" w:rsidR="008F2E7C" w:rsidRDefault="008F2E7C" w:rsidP="00D0360D">
            <w:pPr>
              <w:pStyle w:val="Agreement"/>
              <w:numPr>
                <w:ilvl w:val="0"/>
                <w:numId w:val="11"/>
              </w:numPr>
              <w:tabs>
                <w:tab w:val="left" w:pos="1619"/>
              </w:tabs>
              <w:spacing w:line="259" w:lineRule="auto"/>
              <w:rPr>
                <w:rFonts w:ascii="Times New Roman" w:hAnsi="Times New Roman"/>
                <w:b w:val="0"/>
              </w:rPr>
            </w:pPr>
            <w:r w:rsidRPr="0098028A">
              <w:rPr>
                <w:rFonts w:ascii="Times New Roman" w:hAnsi="Times New Roman"/>
                <w:b w:val="0"/>
              </w:rPr>
              <w:t xml:space="preserve">FFS whether the MII is reported via </w:t>
            </w:r>
            <w:r w:rsidRPr="0098028A">
              <w:rPr>
                <w:rFonts w:ascii="Times New Roman" w:hAnsi="Times New Roman"/>
                <w:b w:val="0"/>
                <w:i/>
              </w:rPr>
              <w:t>UEAssistanceInformation</w:t>
            </w:r>
            <w:r w:rsidRPr="0098028A">
              <w:rPr>
                <w:rFonts w:ascii="Times New Roman" w:hAnsi="Times New Roman"/>
                <w:b w:val="0"/>
              </w:rPr>
              <w:t xml:space="preserve"> or a new RRC message.</w:t>
            </w:r>
          </w:p>
          <w:p w14:paraId="1200A499" w14:textId="77777777" w:rsidR="008F2E7C" w:rsidRPr="0098028A" w:rsidRDefault="008F2E7C" w:rsidP="00D0360D">
            <w:pPr>
              <w:pStyle w:val="Doc-text2"/>
              <w:rPr>
                <w:rFonts w:ascii="Times New Roman" w:hAnsi="Times New Roman" w:cs="Times New Roman"/>
                <w:bCs/>
                <w:color w:val="auto"/>
                <w:kern w:val="2"/>
                <w:szCs w:val="22"/>
                <w:lang w:val="en-US"/>
              </w:rPr>
            </w:pPr>
            <w:r w:rsidRPr="0098028A">
              <w:rPr>
                <w:rFonts w:ascii="Times New Roman" w:hAnsi="Times New Roman" w:cs="Times New Roman" w:hint="eastAsia"/>
                <w:bCs/>
                <w:color w:val="auto"/>
                <w:kern w:val="2"/>
                <w:szCs w:val="22"/>
                <w:lang w:val="en-US"/>
              </w:rPr>
              <w:t>A</w:t>
            </w:r>
            <w:r w:rsidRPr="0098028A">
              <w:rPr>
                <w:rFonts w:ascii="Times New Roman" w:hAnsi="Times New Roman" w:cs="Times New Roman"/>
                <w:bCs/>
                <w:color w:val="auto"/>
                <w:kern w:val="2"/>
                <w:szCs w:val="22"/>
                <w:lang w:val="en-US"/>
              </w:rPr>
              <w:t>greements @RAN</w:t>
            </w:r>
            <w:r>
              <w:rPr>
                <w:rFonts w:ascii="Times New Roman" w:hAnsi="Times New Roman" w:cs="Times New Roman"/>
                <w:bCs/>
                <w:color w:val="auto"/>
                <w:kern w:val="2"/>
                <w:szCs w:val="22"/>
                <w:lang w:val="en-US"/>
              </w:rPr>
              <w:t>2</w:t>
            </w:r>
            <w:r w:rsidRPr="0098028A">
              <w:rPr>
                <w:rFonts w:ascii="Times New Roman" w:hAnsi="Times New Roman" w:cs="Times New Roman"/>
                <w:bCs/>
                <w:color w:val="auto"/>
                <w:kern w:val="2"/>
                <w:szCs w:val="22"/>
                <w:lang w:val="en-US"/>
              </w:rPr>
              <w:t>#116-e:</w:t>
            </w:r>
          </w:p>
          <w:p w14:paraId="3DB73D00" w14:textId="77777777" w:rsidR="008F2E7C" w:rsidRPr="0098028A" w:rsidRDefault="008F2E7C" w:rsidP="00D0360D">
            <w:pPr>
              <w:pStyle w:val="afa"/>
              <w:numPr>
                <w:ilvl w:val="0"/>
                <w:numId w:val="14"/>
              </w:numPr>
              <w:ind w:leftChars="0"/>
              <w:rPr>
                <w:rFonts w:ascii="Times New Roman" w:hAnsi="Times New Roman"/>
                <w:bCs/>
              </w:rPr>
            </w:pPr>
            <w:r w:rsidRPr="007442AF">
              <w:rPr>
                <w:rFonts w:ascii="Times New Roman" w:hAnsi="Times New Roman"/>
                <w:bCs/>
              </w:rPr>
              <w:t xml:space="preserve">Confirm that the UE may </w:t>
            </w:r>
            <w:r w:rsidRPr="002047F3">
              <w:rPr>
                <w:rFonts w:ascii="Times New Roman" w:hAnsi="Times New Roman"/>
                <w:bCs/>
              </w:rPr>
              <w:t>initiate MII procedure upon successful connection establishment, upon entering or leaving the broadcast service area, upon MBS broadcast session start or stop, upon</w:t>
            </w:r>
            <w:r w:rsidRPr="007442AF">
              <w:rPr>
                <w:rFonts w:ascii="Times New Roman" w:hAnsi="Times New Roman"/>
                <w:bCs/>
              </w:rPr>
              <w:t xml:space="preserve"> change of interest, upon change of priority between MBS broadcast reception and unicast reception, upon change to a PCell broadcasting SIBx1. FFS other triggers. FFS network control.</w:t>
            </w:r>
          </w:p>
        </w:tc>
      </w:tr>
    </w:tbl>
    <w:p w14:paraId="48C1B83E" w14:textId="5F8C01D8" w:rsidR="00C31CF4" w:rsidRPr="0047294C" w:rsidRDefault="00DC405C" w:rsidP="00531151">
      <w:pPr>
        <w:spacing w:before="240"/>
        <w:jc w:val="both"/>
        <w:rPr>
          <w:bCs/>
          <w:lang w:eastAsia="ko-KR"/>
        </w:rPr>
      </w:pPr>
      <w:r>
        <w:rPr>
          <w:bCs/>
          <w:lang w:eastAsia="ko-KR"/>
        </w:rPr>
        <w:t xml:space="preserve">In </w:t>
      </w:r>
      <w:r w:rsidR="009D0B97">
        <w:rPr>
          <w:bCs/>
          <w:lang w:eastAsia="ko-KR"/>
        </w:rPr>
        <w:t xml:space="preserve">this contribution, we discuss remaining issues </w:t>
      </w:r>
      <w:r w:rsidR="008F2E7C">
        <w:rPr>
          <w:rFonts w:hint="eastAsia"/>
          <w:bCs/>
          <w:lang w:eastAsia="ko-KR"/>
        </w:rPr>
        <w:t xml:space="preserve">on the </w:t>
      </w:r>
      <w:r w:rsidR="009D0B97">
        <w:rPr>
          <w:bCs/>
          <w:lang w:eastAsia="ko-KR"/>
        </w:rPr>
        <w:t>M</w:t>
      </w:r>
      <w:r w:rsidR="008F2E7C">
        <w:rPr>
          <w:bCs/>
          <w:lang w:eastAsia="ko-KR"/>
        </w:rPr>
        <w:t xml:space="preserve">BS </w:t>
      </w:r>
      <w:r w:rsidR="009D0B97">
        <w:rPr>
          <w:bCs/>
          <w:lang w:eastAsia="ko-KR"/>
        </w:rPr>
        <w:t>I</w:t>
      </w:r>
      <w:r w:rsidR="008F2E7C">
        <w:rPr>
          <w:bCs/>
          <w:lang w:eastAsia="ko-KR"/>
        </w:rPr>
        <w:t xml:space="preserve">nterest </w:t>
      </w:r>
      <w:r w:rsidR="009D0B97">
        <w:rPr>
          <w:bCs/>
          <w:lang w:eastAsia="ko-KR"/>
        </w:rPr>
        <w:t>I</w:t>
      </w:r>
      <w:r w:rsidR="008F2E7C">
        <w:rPr>
          <w:bCs/>
          <w:lang w:eastAsia="ko-KR"/>
        </w:rPr>
        <w:t>dication</w:t>
      </w:r>
      <w:r w:rsidR="009D0B97">
        <w:rPr>
          <w:bCs/>
          <w:lang w:eastAsia="ko-KR"/>
        </w:rPr>
        <w:t>.</w:t>
      </w:r>
    </w:p>
    <w:p w14:paraId="78B2BEF2" w14:textId="52156655" w:rsidR="007F5A53" w:rsidRDefault="00B02523" w:rsidP="0011340F">
      <w:pPr>
        <w:pStyle w:val="1"/>
        <w:spacing w:line="300" w:lineRule="atLeast"/>
        <w:jc w:val="both"/>
        <w:rPr>
          <w:lang w:val="en-US" w:eastAsia="ko-KR"/>
        </w:rPr>
      </w:pPr>
      <w:r>
        <w:rPr>
          <w:rFonts w:hint="eastAsia"/>
          <w:lang w:val="en-US" w:eastAsia="ko-KR"/>
        </w:rPr>
        <w:t>2</w:t>
      </w:r>
      <w:r>
        <w:rPr>
          <w:lang w:val="en-US"/>
        </w:rPr>
        <w:t xml:space="preserve">. </w:t>
      </w:r>
      <w:r>
        <w:rPr>
          <w:rFonts w:hint="eastAsia"/>
          <w:lang w:val="en-US" w:eastAsia="ko-KR"/>
        </w:rPr>
        <w:t>Discussion</w:t>
      </w:r>
    </w:p>
    <w:p w14:paraId="618F15C8" w14:textId="6B1CA130" w:rsidR="00E756AF" w:rsidRPr="00BE6C61" w:rsidRDefault="00DC2372" w:rsidP="0011340F">
      <w:pPr>
        <w:jc w:val="both"/>
        <w:rPr>
          <w:lang w:val="en-US" w:eastAsia="ko-KR"/>
        </w:rPr>
      </w:pPr>
      <w:r>
        <w:rPr>
          <w:lang w:eastAsia="ko-KR"/>
        </w:rPr>
        <w:t xml:space="preserve">In NR, we have a unified procedure, i.e. UE assistance information, to report a various UE information to assist network in configuring proper parameters that fits the condition of individual UE. The UE assistance information procedure is initiated by different condition depending on the UE information to be reported. For instance, if the </w:t>
      </w:r>
      <w:r w:rsidRPr="00044D39">
        <w:rPr>
          <w:lang w:eastAsia="ko-KR"/>
        </w:rPr>
        <w:t xml:space="preserve">overheating assistance information </w:t>
      </w:r>
      <w:r>
        <w:rPr>
          <w:lang w:eastAsia="ko-KR"/>
        </w:rPr>
        <w:t xml:space="preserve">is reported via </w:t>
      </w:r>
      <w:r w:rsidRPr="00044D39">
        <w:rPr>
          <w:lang w:eastAsia="ko-KR"/>
        </w:rPr>
        <w:t>UE assistance information</w:t>
      </w:r>
      <w:r>
        <w:rPr>
          <w:lang w:eastAsia="ko-KR"/>
        </w:rPr>
        <w:t>,</w:t>
      </w:r>
      <w:r w:rsidRPr="00044D39">
        <w:rPr>
          <w:lang w:eastAsia="ko-KR"/>
        </w:rPr>
        <w:t xml:space="preserve"> </w:t>
      </w:r>
      <w:r>
        <w:rPr>
          <w:lang w:eastAsia="ko-KR"/>
        </w:rPr>
        <w:t xml:space="preserve">the procedure is initiated </w:t>
      </w:r>
      <w:r w:rsidRPr="00044D39">
        <w:rPr>
          <w:lang w:eastAsia="ko-KR"/>
        </w:rPr>
        <w:t>upon detecting internal overheating</w:t>
      </w:r>
      <w:r>
        <w:rPr>
          <w:lang w:eastAsia="ko-KR"/>
        </w:rPr>
        <w:t>. Therefore, though the triggering condition RAN2 defined for MBS interest reporting is different from that of existing UE assistance information, it can be easily extended to support the MBS interest.</w:t>
      </w:r>
      <w:r>
        <w:rPr>
          <w:rFonts w:hint="eastAsia"/>
          <w:lang w:eastAsia="ko-KR"/>
        </w:rPr>
        <w:t xml:space="preserve"> </w:t>
      </w:r>
      <w:r>
        <w:rPr>
          <w:lang w:eastAsia="ko-KR"/>
        </w:rPr>
        <w:t>T</w:t>
      </w:r>
      <w:r w:rsidRPr="005D1626">
        <w:rPr>
          <w:lang w:eastAsia="ko-KR"/>
        </w:rPr>
        <w:t xml:space="preserve">here is no </w:t>
      </w:r>
      <w:r>
        <w:rPr>
          <w:lang w:eastAsia="ko-KR"/>
        </w:rPr>
        <w:t>clear reason</w:t>
      </w:r>
      <w:r w:rsidRPr="005D1626">
        <w:rPr>
          <w:lang w:eastAsia="ko-KR"/>
        </w:rPr>
        <w:t xml:space="preserve"> to introduce a separate procedure </w:t>
      </w:r>
      <w:r>
        <w:rPr>
          <w:lang w:eastAsia="ko-KR"/>
        </w:rPr>
        <w:t>to indicate</w:t>
      </w:r>
      <w:r w:rsidRPr="005D1626">
        <w:rPr>
          <w:lang w:eastAsia="ko-KR"/>
        </w:rPr>
        <w:t xml:space="preserve"> </w:t>
      </w:r>
      <w:r>
        <w:rPr>
          <w:lang w:eastAsia="ko-KR"/>
        </w:rPr>
        <w:t xml:space="preserve">the MBS related UE information, and it is better to use the unified procedure to </w:t>
      </w:r>
      <w:r w:rsidRPr="00B62805">
        <w:rPr>
          <w:lang w:eastAsia="ko-KR"/>
        </w:rPr>
        <w:t xml:space="preserve">keep </w:t>
      </w:r>
      <w:r>
        <w:rPr>
          <w:lang w:eastAsia="ko-KR"/>
        </w:rPr>
        <w:t xml:space="preserve">the </w:t>
      </w:r>
      <w:r w:rsidRPr="00B62805">
        <w:rPr>
          <w:lang w:eastAsia="ko-KR"/>
        </w:rPr>
        <w:t>consistency</w:t>
      </w:r>
      <w:r>
        <w:rPr>
          <w:lang w:eastAsia="ko-KR"/>
        </w:rPr>
        <w:t xml:space="preserve"> in RRC spec.</w:t>
      </w:r>
      <w:r>
        <w:rPr>
          <w:rFonts w:hint="eastAsia"/>
          <w:lang w:eastAsia="ko-KR"/>
        </w:rPr>
        <w:t xml:space="preserve"> </w:t>
      </w:r>
      <w:r w:rsidR="00BE6C61">
        <w:rPr>
          <w:lang w:val="en-US" w:eastAsia="ko-KR"/>
        </w:rPr>
        <w:t xml:space="preserve">Therefore, we propose </w:t>
      </w:r>
      <w:r>
        <w:rPr>
          <w:lang w:val="en-US" w:eastAsia="ko-KR"/>
        </w:rPr>
        <w:t>to use UE assistance information procedure to report the UE’s broadcast interest</w:t>
      </w:r>
      <w:r w:rsidR="00BE6C61">
        <w:rPr>
          <w:lang w:val="en-US" w:eastAsia="ko-KR"/>
        </w:rPr>
        <w:t>.</w:t>
      </w:r>
    </w:p>
    <w:p w14:paraId="6B491340" w14:textId="4C189B53" w:rsidR="00804F6D" w:rsidRDefault="00804F6D" w:rsidP="0011340F">
      <w:pPr>
        <w:jc w:val="both"/>
        <w:rPr>
          <w:b/>
          <w:bCs/>
          <w:lang w:eastAsia="ko-KR"/>
        </w:rPr>
      </w:pPr>
      <w:r>
        <w:rPr>
          <w:rFonts w:hint="eastAsia"/>
          <w:b/>
          <w:bCs/>
          <w:lang w:eastAsia="ko-KR"/>
        </w:rPr>
        <w:t xml:space="preserve">Proposal 1. UE </w:t>
      </w:r>
      <w:r>
        <w:rPr>
          <w:b/>
          <w:bCs/>
          <w:lang w:eastAsia="ko-KR"/>
        </w:rPr>
        <w:t>reports</w:t>
      </w:r>
      <w:r>
        <w:rPr>
          <w:rFonts w:hint="eastAsia"/>
          <w:b/>
          <w:bCs/>
          <w:lang w:eastAsia="ko-KR"/>
        </w:rPr>
        <w:t xml:space="preserve"> the </w:t>
      </w:r>
      <w:r>
        <w:rPr>
          <w:b/>
          <w:bCs/>
          <w:lang w:eastAsia="ko-KR"/>
        </w:rPr>
        <w:t>broadcast</w:t>
      </w:r>
      <w:r>
        <w:rPr>
          <w:rFonts w:hint="eastAsia"/>
          <w:b/>
          <w:bCs/>
          <w:lang w:eastAsia="ko-KR"/>
        </w:rPr>
        <w:t xml:space="preserve"> interest </w:t>
      </w:r>
      <w:r>
        <w:rPr>
          <w:b/>
          <w:bCs/>
          <w:lang w:eastAsia="ko-KR"/>
        </w:rPr>
        <w:t xml:space="preserve">via </w:t>
      </w:r>
      <w:r w:rsidRPr="008F1F98">
        <w:rPr>
          <w:b/>
          <w:bCs/>
          <w:i/>
          <w:lang w:eastAsia="ko-KR"/>
        </w:rPr>
        <w:t>UEAssistanceInformation</w:t>
      </w:r>
      <w:r>
        <w:rPr>
          <w:b/>
          <w:bCs/>
          <w:lang w:eastAsia="ko-KR"/>
        </w:rPr>
        <w:t>.</w:t>
      </w:r>
    </w:p>
    <w:p w14:paraId="11E522C6" w14:textId="7A57AA47" w:rsidR="00BE6C61" w:rsidRDefault="002D7369" w:rsidP="0011340F">
      <w:pPr>
        <w:jc w:val="both"/>
        <w:rPr>
          <w:lang w:eastAsia="ko-KR"/>
        </w:rPr>
      </w:pPr>
      <w:r>
        <w:rPr>
          <w:lang w:eastAsia="ko-KR"/>
        </w:rPr>
        <w:t>Unlike</w:t>
      </w:r>
      <w:r w:rsidR="00BE6C61">
        <w:rPr>
          <w:lang w:eastAsia="ko-KR"/>
        </w:rPr>
        <w:t xml:space="preserve"> broadcast </w:t>
      </w:r>
      <w:r>
        <w:rPr>
          <w:lang w:eastAsia="ko-KR"/>
        </w:rPr>
        <w:t>session</w:t>
      </w:r>
      <w:r w:rsidR="00BE6C61">
        <w:rPr>
          <w:lang w:eastAsia="ko-KR"/>
        </w:rPr>
        <w:t xml:space="preserve">, </w:t>
      </w:r>
      <w:r>
        <w:rPr>
          <w:lang w:eastAsia="ko-KR"/>
        </w:rPr>
        <w:t xml:space="preserve">for </w:t>
      </w:r>
      <w:r w:rsidR="00BE6C61">
        <w:rPr>
          <w:lang w:eastAsia="ko-KR"/>
        </w:rPr>
        <w:t xml:space="preserve">multicast </w:t>
      </w:r>
      <w:r>
        <w:rPr>
          <w:lang w:eastAsia="ko-KR"/>
        </w:rPr>
        <w:t xml:space="preserve">session </w:t>
      </w:r>
      <w:r w:rsidR="00BE6C61">
        <w:rPr>
          <w:lang w:eastAsia="ko-KR"/>
        </w:rPr>
        <w:t xml:space="preserve">‘subscription’ and ‘joining’ procedures </w:t>
      </w:r>
      <w:r>
        <w:rPr>
          <w:lang w:eastAsia="ko-KR"/>
        </w:rPr>
        <w:t xml:space="preserve">is required </w:t>
      </w:r>
      <w:r w:rsidR="00BE6C61">
        <w:rPr>
          <w:lang w:eastAsia="ko-KR"/>
        </w:rPr>
        <w:t xml:space="preserve">prior to </w:t>
      </w:r>
      <w:r>
        <w:rPr>
          <w:lang w:eastAsia="ko-KR"/>
        </w:rPr>
        <w:t xml:space="preserve">beginning </w:t>
      </w:r>
      <w:r w:rsidR="00BE6C61">
        <w:rPr>
          <w:lang w:eastAsia="ko-KR"/>
        </w:rPr>
        <w:t xml:space="preserve">the </w:t>
      </w:r>
      <w:r>
        <w:rPr>
          <w:lang w:eastAsia="ko-KR"/>
        </w:rPr>
        <w:t>multicast</w:t>
      </w:r>
      <w:r w:rsidR="00BE6C61">
        <w:rPr>
          <w:lang w:eastAsia="ko-KR"/>
        </w:rPr>
        <w:t xml:space="preserve"> reception</w:t>
      </w:r>
      <w:r>
        <w:rPr>
          <w:lang w:eastAsia="ko-KR"/>
        </w:rPr>
        <w:t xml:space="preserve">. Therefore, </w:t>
      </w:r>
      <w:r w:rsidR="00557E84">
        <w:rPr>
          <w:lang w:eastAsia="ko-KR"/>
        </w:rPr>
        <w:t xml:space="preserve">the </w:t>
      </w:r>
      <w:r>
        <w:rPr>
          <w:lang w:eastAsia="ko-KR"/>
        </w:rPr>
        <w:t xml:space="preserve">core network, i.e. AMF, knows which multicast </w:t>
      </w:r>
      <w:r w:rsidR="00C41AD0">
        <w:rPr>
          <w:lang w:eastAsia="ko-KR"/>
        </w:rPr>
        <w:t xml:space="preserve">session </w:t>
      </w:r>
      <w:r>
        <w:rPr>
          <w:lang w:eastAsia="ko-KR"/>
        </w:rPr>
        <w:t xml:space="preserve">UE wants to receive without a separate interest indication. However, the concern is </w:t>
      </w:r>
      <w:r w:rsidR="00C41AD0">
        <w:rPr>
          <w:lang w:eastAsia="ko-KR"/>
        </w:rPr>
        <w:t>whether or not the UE’s multicast interest is forwarded to gNB in real time. If</w:t>
      </w:r>
      <w:r w:rsidR="0011340F">
        <w:rPr>
          <w:lang w:eastAsia="ko-KR"/>
        </w:rPr>
        <w:t xml:space="preserve"> AMF provides the </w:t>
      </w:r>
      <w:r w:rsidR="00C41AD0">
        <w:rPr>
          <w:lang w:eastAsia="ko-KR"/>
        </w:rPr>
        <w:t xml:space="preserve">up-to date information on multicast interest </w:t>
      </w:r>
      <w:r w:rsidR="0011340F">
        <w:rPr>
          <w:lang w:eastAsia="ko-KR"/>
        </w:rPr>
        <w:t>to gNB</w:t>
      </w:r>
      <w:r w:rsidR="00C41AD0">
        <w:rPr>
          <w:lang w:eastAsia="ko-KR"/>
        </w:rPr>
        <w:t xml:space="preserve"> </w:t>
      </w:r>
      <w:r w:rsidR="00C41AD0" w:rsidRPr="00C41AD0">
        <w:rPr>
          <w:lang w:eastAsia="ko-KR"/>
        </w:rPr>
        <w:t>upon completion</w:t>
      </w:r>
      <w:r w:rsidR="00C41AD0">
        <w:rPr>
          <w:lang w:eastAsia="ko-KR"/>
        </w:rPr>
        <w:t xml:space="preserve"> of ‘subscription’ and ‘joining’ procedures, gNB would be able to make a mobility decision </w:t>
      </w:r>
      <w:r w:rsidR="00561B8E">
        <w:rPr>
          <w:lang w:eastAsia="ko-KR"/>
        </w:rPr>
        <w:t xml:space="preserve">for the multicast service continuity </w:t>
      </w:r>
      <w:r w:rsidR="00C41AD0">
        <w:rPr>
          <w:lang w:eastAsia="ko-KR"/>
        </w:rPr>
        <w:t xml:space="preserve">based on the </w:t>
      </w:r>
      <w:r w:rsidR="00561B8E">
        <w:rPr>
          <w:lang w:eastAsia="ko-KR"/>
        </w:rPr>
        <w:t xml:space="preserve">information. However, if not, UE should report the MBS interest for multicast session also to gNB. </w:t>
      </w:r>
      <w:r w:rsidR="00B43A7D">
        <w:rPr>
          <w:lang w:eastAsia="ko-KR"/>
        </w:rPr>
        <w:t xml:space="preserve">Therefore, </w:t>
      </w:r>
      <w:r w:rsidR="00976FC6" w:rsidRPr="00976FC6">
        <w:rPr>
          <w:bCs/>
          <w:lang w:eastAsia="ko-KR"/>
        </w:rPr>
        <w:t>RAN2 needs to confirm whether gNB is aware of multicast session interest of UE or not</w:t>
      </w:r>
      <w:r w:rsidR="00976FC6">
        <w:rPr>
          <w:lang w:eastAsia="ko-KR"/>
        </w:rPr>
        <w:t>. If not, we suggest that AMF should provide the multicast interest of UE to gNB.</w:t>
      </w:r>
    </w:p>
    <w:p w14:paraId="6E657655" w14:textId="2231FAE5" w:rsidR="001C0C58" w:rsidRDefault="001C0C58" w:rsidP="0011340F">
      <w:pPr>
        <w:jc w:val="both"/>
        <w:rPr>
          <w:b/>
          <w:bCs/>
          <w:lang w:eastAsia="ko-KR"/>
        </w:rPr>
      </w:pPr>
      <w:r>
        <w:rPr>
          <w:b/>
          <w:bCs/>
          <w:lang w:eastAsia="ko-KR"/>
        </w:rPr>
        <w:t xml:space="preserve">Proposal 2. </w:t>
      </w:r>
      <w:r w:rsidR="00976FC6">
        <w:rPr>
          <w:b/>
          <w:bCs/>
          <w:lang w:eastAsia="ko-KR"/>
        </w:rPr>
        <w:t xml:space="preserve">RAN2 needs to </w:t>
      </w:r>
      <w:r w:rsidR="00B43A7D">
        <w:rPr>
          <w:b/>
          <w:bCs/>
          <w:lang w:eastAsia="ko-KR"/>
        </w:rPr>
        <w:t xml:space="preserve">check </w:t>
      </w:r>
      <w:r w:rsidR="00976FC6">
        <w:rPr>
          <w:b/>
          <w:bCs/>
          <w:lang w:eastAsia="ko-KR"/>
        </w:rPr>
        <w:t xml:space="preserve">whether gNB </w:t>
      </w:r>
      <w:r w:rsidR="00B43A7D">
        <w:rPr>
          <w:b/>
          <w:bCs/>
          <w:lang w:eastAsia="ko-KR"/>
        </w:rPr>
        <w:t xml:space="preserve">can acquire the </w:t>
      </w:r>
      <w:r w:rsidR="00976FC6">
        <w:rPr>
          <w:b/>
          <w:bCs/>
          <w:lang w:eastAsia="ko-KR"/>
        </w:rPr>
        <w:t xml:space="preserve">multicast interest of UE </w:t>
      </w:r>
      <w:r w:rsidR="00B43A7D">
        <w:rPr>
          <w:b/>
          <w:bCs/>
          <w:lang w:eastAsia="ko-KR"/>
        </w:rPr>
        <w:t>from core network</w:t>
      </w:r>
      <w:r w:rsidR="00976FC6">
        <w:rPr>
          <w:b/>
          <w:bCs/>
          <w:lang w:eastAsia="ko-KR"/>
        </w:rPr>
        <w:t xml:space="preserve">. If </w:t>
      </w:r>
      <w:r w:rsidR="00B43A7D">
        <w:rPr>
          <w:b/>
          <w:bCs/>
          <w:lang w:eastAsia="ko-KR"/>
        </w:rPr>
        <w:t>it is impossible</w:t>
      </w:r>
      <w:r w:rsidR="0001022B">
        <w:rPr>
          <w:b/>
          <w:bCs/>
          <w:lang w:eastAsia="ko-KR"/>
        </w:rPr>
        <w:t>,</w:t>
      </w:r>
      <w:r w:rsidR="00B43A7D">
        <w:rPr>
          <w:b/>
          <w:bCs/>
          <w:lang w:eastAsia="ko-KR"/>
        </w:rPr>
        <w:t xml:space="preserve"> UE should report the MBS interest for multicast session also.</w:t>
      </w:r>
    </w:p>
    <w:p w14:paraId="485C60F9" w14:textId="188B9524" w:rsidR="00557E84" w:rsidRDefault="00921368" w:rsidP="00557E84">
      <w:pPr>
        <w:spacing w:before="180"/>
        <w:jc w:val="both"/>
        <w:rPr>
          <w:bCs/>
          <w:lang w:eastAsia="ko-KR"/>
        </w:rPr>
      </w:pPr>
      <w:r>
        <w:rPr>
          <w:lang w:eastAsia="ko-KR"/>
        </w:rPr>
        <w:lastRenderedPageBreak/>
        <w:t>Regarding</w:t>
      </w:r>
      <w:r w:rsidR="00557E84">
        <w:rPr>
          <w:lang w:eastAsia="ko-KR"/>
        </w:rPr>
        <w:t xml:space="preserve"> the triggering condition</w:t>
      </w:r>
      <w:r>
        <w:rPr>
          <w:lang w:eastAsia="ko-KR"/>
        </w:rPr>
        <w:t xml:space="preserve"> of MBS interest indication</w:t>
      </w:r>
      <w:r w:rsidR="00557E84">
        <w:rPr>
          <w:lang w:eastAsia="ko-KR"/>
        </w:rPr>
        <w:t xml:space="preserve">, one concern </w:t>
      </w:r>
      <w:r>
        <w:rPr>
          <w:lang w:eastAsia="ko-KR"/>
        </w:rPr>
        <w:t xml:space="preserve">raised during the last meeting is </w:t>
      </w:r>
      <w:r w:rsidR="00557E84">
        <w:rPr>
          <w:lang w:eastAsia="ko-KR"/>
        </w:rPr>
        <w:t xml:space="preserve">whether BWP switching should trigger the </w:t>
      </w:r>
      <w:r>
        <w:rPr>
          <w:lang w:eastAsia="ko-KR"/>
        </w:rPr>
        <w:t>MBS interest indication</w:t>
      </w:r>
      <w:r w:rsidDel="00921368">
        <w:rPr>
          <w:lang w:eastAsia="ko-KR"/>
        </w:rPr>
        <w:t xml:space="preserve"> </w:t>
      </w:r>
      <w:r w:rsidR="00557E84">
        <w:rPr>
          <w:lang w:eastAsia="ko-KR"/>
        </w:rPr>
        <w:t xml:space="preserve">or not. </w:t>
      </w:r>
      <w:r w:rsidR="00DA1817">
        <w:rPr>
          <w:lang w:eastAsia="ko-KR"/>
        </w:rPr>
        <w:t>However, in the last meeting, RAN2 agreed that w</w:t>
      </w:r>
      <w:r w:rsidR="00DA1817" w:rsidRPr="00DA1817">
        <w:rPr>
          <w:lang w:eastAsia="ko-KR"/>
        </w:rPr>
        <w:t xml:space="preserve">hen evaluating which frequencies </w:t>
      </w:r>
      <w:r w:rsidR="00DA1817">
        <w:rPr>
          <w:lang w:eastAsia="ko-KR"/>
        </w:rPr>
        <w:t xml:space="preserve">to report in MBS interest </w:t>
      </w:r>
      <w:r w:rsidR="002523A9">
        <w:rPr>
          <w:lang w:eastAsia="ko-KR"/>
        </w:rPr>
        <w:t>indication</w:t>
      </w:r>
      <w:r w:rsidR="00DA1817" w:rsidRPr="00DA1817">
        <w:rPr>
          <w:lang w:eastAsia="ko-KR"/>
        </w:rPr>
        <w:t>, the UE does not take into account the serving frequencies that are currently configured</w:t>
      </w:r>
      <w:r w:rsidR="00DA1817">
        <w:rPr>
          <w:lang w:eastAsia="ko-KR"/>
        </w:rPr>
        <w:t xml:space="preserve">. </w:t>
      </w:r>
      <w:r w:rsidR="00197853">
        <w:rPr>
          <w:lang w:eastAsia="ko-KR"/>
        </w:rPr>
        <w:t>S</w:t>
      </w:r>
      <w:r w:rsidR="00557E84">
        <w:rPr>
          <w:lang w:eastAsia="ko-KR"/>
        </w:rPr>
        <w:t xml:space="preserve">ince </w:t>
      </w:r>
      <w:r w:rsidR="00DA1817">
        <w:rPr>
          <w:lang w:eastAsia="ko-KR"/>
        </w:rPr>
        <w:t xml:space="preserve">the </w:t>
      </w:r>
      <w:r w:rsidR="00557E84">
        <w:rPr>
          <w:lang w:eastAsia="ko-KR"/>
        </w:rPr>
        <w:t xml:space="preserve">BWP switching happens within a current serving cell </w:t>
      </w:r>
      <w:r w:rsidR="002523A9">
        <w:rPr>
          <w:lang w:eastAsia="ko-KR"/>
        </w:rPr>
        <w:t xml:space="preserve">on </w:t>
      </w:r>
      <w:r w:rsidR="00557E84">
        <w:rPr>
          <w:lang w:eastAsia="ko-KR"/>
        </w:rPr>
        <w:t xml:space="preserve">the serving frequency, the </w:t>
      </w:r>
      <w:r w:rsidR="002523A9">
        <w:rPr>
          <w:lang w:eastAsia="ko-KR"/>
        </w:rPr>
        <w:t xml:space="preserve">frequency of </w:t>
      </w:r>
      <w:r w:rsidR="00557E84">
        <w:rPr>
          <w:lang w:eastAsia="ko-KR"/>
        </w:rPr>
        <w:t xml:space="preserve">interest </w:t>
      </w:r>
      <w:r w:rsidR="002523A9">
        <w:rPr>
          <w:lang w:eastAsia="ko-KR"/>
        </w:rPr>
        <w:t>is not</w:t>
      </w:r>
      <w:r w:rsidR="00557E84">
        <w:rPr>
          <w:lang w:eastAsia="ko-KR"/>
        </w:rPr>
        <w:t xml:space="preserve"> changed by BWP switching. </w:t>
      </w:r>
      <w:r w:rsidR="00197853">
        <w:rPr>
          <w:lang w:eastAsia="ko-KR"/>
        </w:rPr>
        <w:t xml:space="preserve">Therefore, </w:t>
      </w:r>
      <w:r w:rsidR="002523A9">
        <w:rPr>
          <w:lang w:eastAsia="ko-KR"/>
        </w:rPr>
        <w:t>UE doesn’t need to report the MBS interest indication upon BWP switching.</w:t>
      </w:r>
    </w:p>
    <w:p w14:paraId="4E471110" w14:textId="3DE5494A" w:rsidR="0047294C" w:rsidRPr="0047294C" w:rsidRDefault="00557E84" w:rsidP="0011340F">
      <w:pPr>
        <w:jc w:val="both"/>
        <w:rPr>
          <w:b/>
          <w:bCs/>
          <w:lang w:val="en-US" w:eastAsia="ko-KR"/>
        </w:rPr>
      </w:pPr>
      <w:r>
        <w:rPr>
          <w:b/>
          <w:bCs/>
          <w:lang w:eastAsia="ko-KR"/>
        </w:rPr>
        <w:t xml:space="preserve">Proposal 3. </w:t>
      </w:r>
      <w:r>
        <w:rPr>
          <w:b/>
          <w:lang w:eastAsia="ko-KR"/>
        </w:rPr>
        <w:t xml:space="preserve">BWP switching is not considered as a </w:t>
      </w:r>
      <w:r w:rsidRPr="00EE0555">
        <w:rPr>
          <w:b/>
          <w:lang w:eastAsia="ko-KR"/>
        </w:rPr>
        <w:t xml:space="preserve">triggering condition of </w:t>
      </w:r>
      <w:r w:rsidR="00921368" w:rsidRPr="00921368">
        <w:rPr>
          <w:b/>
          <w:lang w:eastAsia="ko-KR"/>
        </w:rPr>
        <w:t>MBS interest indication</w:t>
      </w:r>
      <w:r w:rsidRPr="00EE0555">
        <w:rPr>
          <w:b/>
          <w:lang w:eastAsia="ko-KR"/>
        </w:rPr>
        <w:t>.</w:t>
      </w:r>
    </w:p>
    <w:p w14:paraId="2ECBF6BD" w14:textId="77777777" w:rsidR="00D4259F" w:rsidRDefault="00B02523" w:rsidP="0011340F">
      <w:pPr>
        <w:pStyle w:val="1"/>
        <w:spacing w:line="300" w:lineRule="atLeast"/>
        <w:jc w:val="both"/>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20E5A879" w14:textId="77777777" w:rsidR="0001022B" w:rsidRDefault="0001022B" w:rsidP="0001022B">
      <w:pPr>
        <w:jc w:val="both"/>
        <w:rPr>
          <w:b/>
          <w:bCs/>
          <w:lang w:eastAsia="ko-KR"/>
        </w:rPr>
      </w:pPr>
      <w:r>
        <w:rPr>
          <w:rFonts w:hint="eastAsia"/>
          <w:b/>
          <w:bCs/>
          <w:lang w:eastAsia="ko-KR"/>
        </w:rPr>
        <w:t xml:space="preserve">Proposal 1. UE </w:t>
      </w:r>
      <w:r>
        <w:rPr>
          <w:b/>
          <w:bCs/>
          <w:lang w:eastAsia="ko-KR"/>
        </w:rPr>
        <w:t>reports</w:t>
      </w:r>
      <w:r>
        <w:rPr>
          <w:rFonts w:hint="eastAsia"/>
          <w:b/>
          <w:bCs/>
          <w:lang w:eastAsia="ko-KR"/>
        </w:rPr>
        <w:t xml:space="preserve"> the </w:t>
      </w:r>
      <w:r>
        <w:rPr>
          <w:b/>
          <w:bCs/>
          <w:lang w:eastAsia="ko-KR"/>
        </w:rPr>
        <w:t>broadcast</w:t>
      </w:r>
      <w:r>
        <w:rPr>
          <w:rFonts w:hint="eastAsia"/>
          <w:b/>
          <w:bCs/>
          <w:lang w:eastAsia="ko-KR"/>
        </w:rPr>
        <w:t xml:space="preserve"> interest </w:t>
      </w:r>
      <w:r>
        <w:rPr>
          <w:b/>
          <w:bCs/>
          <w:lang w:eastAsia="ko-KR"/>
        </w:rPr>
        <w:t xml:space="preserve">via </w:t>
      </w:r>
      <w:r w:rsidRPr="008F1F98">
        <w:rPr>
          <w:b/>
          <w:bCs/>
          <w:i/>
          <w:lang w:eastAsia="ko-KR"/>
        </w:rPr>
        <w:t>UEAssistanceInformation</w:t>
      </w:r>
      <w:r>
        <w:rPr>
          <w:b/>
          <w:bCs/>
          <w:lang w:eastAsia="ko-KR"/>
        </w:rPr>
        <w:t>.</w:t>
      </w:r>
    </w:p>
    <w:p w14:paraId="31A66507" w14:textId="4202C01A" w:rsidR="0001022B" w:rsidRDefault="0001022B" w:rsidP="0001022B">
      <w:pPr>
        <w:jc w:val="both"/>
        <w:rPr>
          <w:b/>
          <w:bCs/>
          <w:lang w:eastAsia="ko-KR"/>
        </w:rPr>
      </w:pPr>
      <w:r>
        <w:rPr>
          <w:b/>
          <w:bCs/>
          <w:lang w:eastAsia="ko-KR"/>
        </w:rPr>
        <w:t>Proposal 2. RAN2 needs to check whether gNB can acquire the multicast interest of UE from core network. If it is impossible, UE should report the MBS interest for multicast session also.</w:t>
      </w:r>
    </w:p>
    <w:p w14:paraId="18BB7465" w14:textId="6B6EC89C" w:rsidR="00557E84" w:rsidRPr="0047294C" w:rsidRDefault="00557E84" w:rsidP="00557E84">
      <w:pPr>
        <w:jc w:val="both"/>
        <w:rPr>
          <w:b/>
          <w:bCs/>
          <w:lang w:val="en-US" w:eastAsia="ko-KR"/>
        </w:rPr>
      </w:pPr>
      <w:r>
        <w:rPr>
          <w:b/>
          <w:bCs/>
          <w:lang w:eastAsia="ko-KR"/>
        </w:rPr>
        <w:t xml:space="preserve">Proposal 3. </w:t>
      </w:r>
      <w:r>
        <w:rPr>
          <w:b/>
          <w:lang w:eastAsia="ko-KR"/>
        </w:rPr>
        <w:t xml:space="preserve">BWP switching is not considered as a </w:t>
      </w:r>
      <w:r w:rsidRPr="00EE0555">
        <w:rPr>
          <w:b/>
          <w:lang w:eastAsia="ko-KR"/>
        </w:rPr>
        <w:t xml:space="preserve">triggering condition of </w:t>
      </w:r>
      <w:r w:rsidR="00921368" w:rsidRPr="00921368">
        <w:rPr>
          <w:b/>
          <w:lang w:eastAsia="ko-KR"/>
        </w:rPr>
        <w:t>MBS interest indication</w:t>
      </w:r>
      <w:r w:rsidRPr="00EE0555">
        <w:rPr>
          <w:b/>
          <w:lang w:eastAsia="ko-KR"/>
        </w:rPr>
        <w:t>.</w:t>
      </w:r>
    </w:p>
    <w:p w14:paraId="26017BAD" w14:textId="77777777" w:rsidR="00D60DBF" w:rsidRDefault="00D60DBF" w:rsidP="00D60DBF">
      <w:pPr>
        <w:pStyle w:val="1"/>
        <w:rPr>
          <w:lang w:eastAsia="ko-KR"/>
        </w:rPr>
      </w:pPr>
      <w:r>
        <w:rPr>
          <w:rFonts w:hint="eastAsia"/>
          <w:lang w:eastAsia="ko-KR"/>
        </w:rPr>
        <w:t>4. References</w:t>
      </w:r>
    </w:p>
    <w:p w14:paraId="21F2759D" w14:textId="77777777" w:rsidR="00D60DBF" w:rsidRPr="00EA15BF" w:rsidRDefault="00D60DBF" w:rsidP="00D60DBF">
      <w:pPr>
        <w:rPr>
          <w:lang w:eastAsia="ko-KR"/>
        </w:rPr>
      </w:pPr>
      <w:r>
        <w:rPr>
          <w:rFonts w:hint="eastAsia"/>
          <w:lang w:eastAsia="ko-KR"/>
        </w:rPr>
        <w:t>[1</w:t>
      </w:r>
      <w:r w:rsidRPr="00FA6F1B">
        <w:rPr>
          <w:rFonts w:hint="eastAsia"/>
          <w:lang w:eastAsia="ko-KR"/>
        </w:rPr>
        <w:t>]</w:t>
      </w:r>
      <w:r w:rsidRPr="00FA6F1B">
        <w:rPr>
          <w:lang w:eastAsia="ko-KR"/>
        </w:rPr>
        <w:t xml:space="preserve"> TS 38.331 v16.</w:t>
      </w:r>
      <w:r>
        <w:rPr>
          <w:lang w:eastAsia="ko-KR"/>
        </w:rPr>
        <w:t>7</w:t>
      </w:r>
      <w:r w:rsidRPr="00FA6F1B">
        <w:rPr>
          <w:lang w:eastAsia="ko-KR"/>
        </w:rPr>
        <w:t>.0, NR; Radio Resource Control (RRC) protocol specification</w:t>
      </w:r>
    </w:p>
    <w:p w14:paraId="6D96D2BC" w14:textId="761963B1" w:rsidR="00D60DBF" w:rsidRDefault="00D60DBF" w:rsidP="00D60DBF">
      <w:pPr>
        <w:rPr>
          <w:lang w:eastAsia="ko-KR"/>
        </w:rPr>
      </w:pPr>
      <w:r>
        <w:rPr>
          <w:rFonts w:hint="eastAsia"/>
          <w:lang w:eastAsia="ko-KR"/>
        </w:rPr>
        <w:t xml:space="preserve">[2] </w:t>
      </w:r>
      <w:r>
        <w:rPr>
          <w:lang w:eastAsia="ko-KR"/>
        </w:rPr>
        <w:t xml:space="preserve">TS 36.331 v16.7.0, </w:t>
      </w:r>
      <w:r w:rsidRPr="00D60DBF">
        <w:rPr>
          <w:lang w:eastAsia="ko-KR"/>
        </w:rPr>
        <w:t>Evolved Universal Terrestrial Radio Access (E-UTRA); Radio Resource Control (RRC); Protocol specification</w:t>
      </w:r>
    </w:p>
    <w:p w14:paraId="209C44A0" w14:textId="77DF9226" w:rsidR="00D60DBF" w:rsidRPr="00D60DBF" w:rsidRDefault="00D60DBF" w:rsidP="00D60DBF">
      <w:pPr>
        <w:rPr>
          <w:lang w:eastAsia="ko-KR"/>
        </w:rPr>
      </w:pPr>
      <w:r>
        <w:rPr>
          <w:lang w:eastAsia="ko-KR"/>
        </w:rPr>
        <w:t xml:space="preserve">[3] TS 38.321 v16.6.0, </w:t>
      </w:r>
      <w:r w:rsidRPr="00D60DBF">
        <w:rPr>
          <w:lang w:eastAsia="ko-KR"/>
        </w:rPr>
        <w:t>NR; Medium Access Control (MAC) protocol specification</w:t>
      </w:r>
    </w:p>
    <w:sectPr w:rsidR="00D60DBF" w:rsidRPr="00D60DBF">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B24F4" w14:textId="77777777" w:rsidR="00DC1D32" w:rsidRDefault="00DC1D32">
      <w:pPr>
        <w:pStyle w:val="1"/>
      </w:pPr>
      <w:r>
        <w:separator/>
      </w:r>
    </w:p>
  </w:endnote>
  <w:endnote w:type="continuationSeparator" w:id="0">
    <w:p w14:paraId="780DAB32" w14:textId="77777777" w:rsidR="00DC1D32" w:rsidRDefault="00DC1D3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31151">
      <w:rPr>
        <w:rStyle w:val="af1"/>
      </w:rPr>
      <w:t>2</w:t>
    </w:r>
    <w:r>
      <w:rPr>
        <w:rStyle w:val="af1"/>
      </w:rPr>
      <w:fldChar w:fldCharType="end"/>
    </w:r>
  </w:p>
  <w:p w14:paraId="0B1DF563" w14:textId="77777777"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6A329" w14:textId="77777777" w:rsidR="00DC1D32" w:rsidRDefault="00DC1D32">
      <w:pPr>
        <w:pStyle w:val="1"/>
      </w:pPr>
      <w:r>
        <w:separator/>
      </w:r>
    </w:p>
  </w:footnote>
  <w:footnote w:type="continuationSeparator" w:id="0">
    <w:p w14:paraId="00A5E9E9" w14:textId="77777777" w:rsidR="00DC1D32" w:rsidRDefault="00DC1D3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1C74E2"/>
    <w:multiLevelType w:val="hybridMultilevel"/>
    <w:tmpl w:val="E4402DFA"/>
    <w:lvl w:ilvl="0" w:tplc="57B64B6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0F9B691D"/>
    <w:multiLevelType w:val="hybridMultilevel"/>
    <w:tmpl w:val="EDCC6420"/>
    <w:lvl w:ilvl="0" w:tplc="7B32A92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E8212E2"/>
    <w:multiLevelType w:val="hybridMultilevel"/>
    <w:tmpl w:val="4490BA42"/>
    <w:lvl w:ilvl="0" w:tplc="56E643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EB7504E"/>
    <w:multiLevelType w:val="hybridMultilevel"/>
    <w:tmpl w:val="4490BA42"/>
    <w:lvl w:ilvl="0" w:tplc="56E643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nsid w:val="3F002B3C"/>
    <w:multiLevelType w:val="hybridMultilevel"/>
    <w:tmpl w:val="A8AC5320"/>
    <w:lvl w:ilvl="0" w:tplc="DC10D63E">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nsid w:val="69D31E62"/>
    <w:multiLevelType w:val="hybridMultilevel"/>
    <w:tmpl w:val="0E2E3C9E"/>
    <w:lvl w:ilvl="0" w:tplc="F19ED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8"/>
  </w:num>
  <w:num w:numId="4">
    <w:abstractNumId w:val="14"/>
  </w:num>
  <w:num w:numId="5">
    <w:abstractNumId w:val="9"/>
  </w:num>
  <w:num w:numId="6">
    <w:abstractNumId w:val="13"/>
  </w:num>
  <w:num w:numId="7">
    <w:abstractNumId w:val="5"/>
  </w:num>
  <w:num w:numId="8">
    <w:abstractNumId w:val="10"/>
  </w:num>
  <w:num w:numId="9">
    <w:abstractNumId w:val="12"/>
  </w:num>
  <w:num w:numId="10">
    <w:abstractNumId w:val="1"/>
  </w:num>
  <w:num w:numId="11">
    <w:abstractNumId w:val="6"/>
  </w:num>
  <w:num w:numId="12">
    <w:abstractNumId w:val="11"/>
  </w:num>
  <w:num w:numId="13">
    <w:abstractNumId w:val="2"/>
  </w:num>
  <w:num w:numId="14">
    <w:abstractNumId w:val="3"/>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1022B"/>
    <w:rsid w:val="00016D57"/>
    <w:rsid w:val="000256B8"/>
    <w:rsid w:val="00053FB6"/>
    <w:rsid w:val="000564A6"/>
    <w:rsid w:val="000713E0"/>
    <w:rsid w:val="000A23BA"/>
    <w:rsid w:val="000A5405"/>
    <w:rsid w:val="000B21EE"/>
    <w:rsid w:val="000D1B87"/>
    <w:rsid w:val="000D3B5E"/>
    <w:rsid w:val="000E54CC"/>
    <w:rsid w:val="000F0F11"/>
    <w:rsid w:val="000F22E9"/>
    <w:rsid w:val="00103042"/>
    <w:rsid w:val="00103E65"/>
    <w:rsid w:val="001115FA"/>
    <w:rsid w:val="0011340F"/>
    <w:rsid w:val="0011623A"/>
    <w:rsid w:val="00146ED5"/>
    <w:rsid w:val="0016623B"/>
    <w:rsid w:val="00171366"/>
    <w:rsid w:val="00181491"/>
    <w:rsid w:val="001839B7"/>
    <w:rsid w:val="001844D9"/>
    <w:rsid w:val="00184B14"/>
    <w:rsid w:val="00187307"/>
    <w:rsid w:val="00197853"/>
    <w:rsid w:val="00197C74"/>
    <w:rsid w:val="001A4B76"/>
    <w:rsid w:val="001A7E19"/>
    <w:rsid w:val="001B20FB"/>
    <w:rsid w:val="001C06EF"/>
    <w:rsid w:val="001C0C58"/>
    <w:rsid w:val="001C3EA1"/>
    <w:rsid w:val="001D093F"/>
    <w:rsid w:val="001E0970"/>
    <w:rsid w:val="001E3A6C"/>
    <w:rsid w:val="001F0D95"/>
    <w:rsid w:val="001F769D"/>
    <w:rsid w:val="002047F3"/>
    <w:rsid w:val="00207A6E"/>
    <w:rsid w:val="00216E7F"/>
    <w:rsid w:val="002523A9"/>
    <w:rsid w:val="00253D5A"/>
    <w:rsid w:val="002610FB"/>
    <w:rsid w:val="00283CA5"/>
    <w:rsid w:val="00293496"/>
    <w:rsid w:val="002A33C1"/>
    <w:rsid w:val="002A7D08"/>
    <w:rsid w:val="002B0916"/>
    <w:rsid w:val="002B0E96"/>
    <w:rsid w:val="002B70CF"/>
    <w:rsid w:val="002C2E5E"/>
    <w:rsid w:val="002D1CC2"/>
    <w:rsid w:val="002D23EE"/>
    <w:rsid w:val="002D7369"/>
    <w:rsid w:val="002E1428"/>
    <w:rsid w:val="002F298F"/>
    <w:rsid w:val="002F7B14"/>
    <w:rsid w:val="0030295F"/>
    <w:rsid w:val="00305343"/>
    <w:rsid w:val="00321F7F"/>
    <w:rsid w:val="003263CE"/>
    <w:rsid w:val="003545AC"/>
    <w:rsid w:val="00364353"/>
    <w:rsid w:val="003737FA"/>
    <w:rsid w:val="0038091A"/>
    <w:rsid w:val="00386E61"/>
    <w:rsid w:val="003A13EA"/>
    <w:rsid w:val="003D4331"/>
    <w:rsid w:val="003F612D"/>
    <w:rsid w:val="00400EEE"/>
    <w:rsid w:val="00403214"/>
    <w:rsid w:val="0041269A"/>
    <w:rsid w:val="00423968"/>
    <w:rsid w:val="00426C63"/>
    <w:rsid w:val="00432CA6"/>
    <w:rsid w:val="00450F16"/>
    <w:rsid w:val="004511D0"/>
    <w:rsid w:val="00452E1E"/>
    <w:rsid w:val="00455462"/>
    <w:rsid w:val="0047294C"/>
    <w:rsid w:val="004763D5"/>
    <w:rsid w:val="0048053E"/>
    <w:rsid w:val="00481AB0"/>
    <w:rsid w:val="00484FB7"/>
    <w:rsid w:val="00492F98"/>
    <w:rsid w:val="004C7359"/>
    <w:rsid w:val="004D32C7"/>
    <w:rsid w:val="004F37F5"/>
    <w:rsid w:val="004F6E85"/>
    <w:rsid w:val="004F72C2"/>
    <w:rsid w:val="00514C0E"/>
    <w:rsid w:val="00514EF5"/>
    <w:rsid w:val="005174CF"/>
    <w:rsid w:val="00525BA2"/>
    <w:rsid w:val="00527004"/>
    <w:rsid w:val="00531151"/>
    <w:rsid w:val="00557E84"/>
    <w:rsid w:val="00561B8E"/>
    <w:rsid w:val="00567D6D"/>
    <w:rsid w:val="00592C34"/>
    <w:rsid w:val="005A1B36"/>
    <w:rsid w:val="005B44D6"/>
    <w:rsid w:val="005B5040"/>
    <w:rsid w:val="005B7CB2"/>
    <w:rsid w:val="005C3B70"/>
    <w:rsid w:val="005D5423"/>
    <w:rsid w:val="005D7750"/>
    <w:rsid w:val="005E21C0"/>
    <w:rsid w:val="00611539"/>
    <w:rsid w:val="00612C7B"/>
    <w:rsid w:val="00613498"/>
    <w:rsid w:val="006234AF"/>
    <w:rsid w:val="0063387B"/>
    <w:rsid w:val="0063502F"/>
    <w:rsid w:val="0063554F"/>
    <w:rsid w:val="006425E1"/>
    <w:rsid w:val="0066391C"/>
    <w:rsid w:val="0068043D"/>
    <w:rsid w:val="0068044F"/>
    <w:rsid w:val="00687858"/>
    <w:rsid w:val="006957BB"/>
    <w:rsid w:val="006A059D"/>
    <w:rsid w:val="006B45A6"/>
    <w:rsid w:val="006C62B9"/>
    <w:rsid w:val="006C66A4"/>
    <w:rsid w:val="006C7D94"/>
    <w:rsid w:val="00710418"/>
    <w:rsid w:val="0071164D"/>
    <w:rsid w:val="00713DBD"/>
    <w:rsid w:val="00732EF6"/>
    <w:rsid w:val="00733663"/>
    <w:rsid w:val="00736AE5"/>
    <w:rsid w:val="00742403"/>
    <w:rsid w:val="007442AF"/>
    <w:rsid w:val="0074660B"/>
    <w:rsid w:val="00750F90"/>
    <w:rsid w:val="00774746"/>
    <w:rsid w:val="007758B1"/>
    <w:rsid w:val="007A25BC"/>
    <w:rsid w:val="007A7C25"/>
    <w:rsid w:val="007B39D1"/>
    <w:rsid w:val="007E0FE7"/>
    <w:rsid w:val="007E30A7"/>
    <w:rsid w:val="007F5A53"/>
    <w:rsid w:val="008006D0"/>
    <w:rsid w:val="00804A92"/>
    <w:rsid w:val="00804F6D"/>
    <w:rsid w:val="00815EC9"/>
    <w:rsid w:val="00817510"/>
    <w:rsid w:val="008214D1"/>
    <w:rsid w:val="0082185A"/>
    <w:rsid w:val="0082261A"/>
    <w:rsid w:val="00824946"/>
    <w:rsid w:val="00826AA0"/>
    <w:rsid w:val="00835E47"/>
    <w:rsid w:val="00837D1B"/>
    <w:rsid w:val="00842964"/>
    <w:rsid w:val="00850FAF"/>
    <w:rsid w:val="0085627A"/>
    <w:rsid w:val="00876238"/>
    <w:rsid w:val="00887CA2"/>
    <w:rsid w:val="00894C50"/>
    <w:rsid w:val="00897E11"/>
    <w:rsid w:val="008B3E2D"/>
    <w:rsid w:val="008B62E2"/>
    <w:rsid w:val="008B70AF"/>
    <w:rsid w:val="008D3128"/>
    <w:rsid w:val="008E0172"/>
    <w:rsid w:val="008E54E1"/>
    <w:rsid w:val="008E5641"/>
    <w:rsid w:val="008F1F98"/>
    <w:rsid w:val="008F2E7C"/>
    <w:rsid w:val="008F3703"/>
    <w:rsid w:val="0090276E"/>
    <w:rsid w:val="00905784"/>
    <w:rsid w:val="00907399"/>
    <w:rsid w:val="0092099D"/>
    <w:rsid w:val="00921368"/>
    <w:rsid w:val="00921401"/>
    <w:rsid w:val="009271B9"/>
    <w:rsid w:val="009361AF"/>
    <w:rsid w:val="009373DC"/>
    <w:rsid w:val="009543A4"/>
    <w:rsid w:val="0096595E"/>
    <w:rsid w:val="0096696E"/>
    <w:rsid w:val="009706B6"/>
    <w:rsid w:val="00976FC6"/>
    <w:rsid w:val="0098028A"/>
    <w:rsid w:val="00985475"/>
    <w:rsid w:val="00990CBD"/>
    <w:rsid w:val="009A01B1"/>
    <w:rsid w:val="009A14E3"/>
    <w:rsid w:val="009A3526"/>
    <w:rsid w:val="009A4527"/>
    <w:rsid w:val="009A55AB"/>
    <w:rsid w:val="009B33F9"/>
    <w:rsid w:val="009C460E"/>
    <w:rsid w:val="009C4E16"/>
    <w:rsid w:val="009D0B97"/>
    <w:rsid w:val="009E48A3"/>
    <w:rsid w:val="009F634E"/>
    <w:rsid w:val="00A04781"/>
    <w:rsid w:val="00A05DCD"/>
    <w:rsid w:val="00A26AF2"/>
    <w:rsid w:val="00A431F8"/>
    <w:rsid w:val="00A43B90"/>
    <w:rsid w:val="00A458CF"/>
    <w:rsid w:val="00A52A56"/>
    <w:rsid w:val="00A55314"/>
    <w:rsid w:val="00A62464"/>
    <w:rsid w:val="00A64426"/>
    <w:rsid w:val="00A65046"/>
    <w:rsid w:val="00A70531"/>
    <w:rsid w:val="00A73D3A"/>
    <w:rsid w:val="00A74CCC"/>
    <w:rsid w:val="00A76469"/>
    <w:rsid w:val="00A774D1"/>
    <w:rsid w:val="00A86CF0"/>
    <w:rsid w:val="00A902C9"/>
    <w:rsid w:val="00AA087D"/>
    <w:rsid w:val="00AB271A"/>
    <w:rsid w:val="00AC135D"/>
    <w:rsid w:val="00AC3782"/>
    <w:rsid w:val="00AD1E66"/>
    <w:rsid w:val="00AD3406"/>
    <w:rsid w:val="00AD3AB2"/>
    <w:rsid w:val="00AD55C3"/>
    <w:rsid w:val="00AE1494"/>
    <w:rsid w:val="00AE43B9"/>
    <w:rsid w:val="00AE5E3F"/>
    <w:rsid w:val="00AF0718"/>
    <w:rsid w:val="00AF5C49"/>
    <w:rsid w:val="00B01C24"/>
    <w:rsid w:val="00B02523"/>
    <w:rsid w:val="00B06C07"/>
    <w:rsid w:val="00B20FAB"/>
    <w:rsid w:val="00B22BA2"/>
    <w:rsid w:val="00B26D81"/>
    <w:rsid w:val="00B377B9"/>
    <w:rsid w:val="00B37B2D"/>
    <w:rsid w:val="00B43A7D"/>
    <w:rsid w:val="00B503F2"/>
    <w:rsid w:val="00B5052D"/>
    <w:rsid w:val="00B50A7A"/>
    <w:rsid w:val="00B566D2"/>
    <w:rsid w:val="00B60115"/>
    <w:rsid w:val="00B615E5"/>
    <w:rsid w:val="00B644F2"/>
    <w:rsid w:val="00B655B4"/>
    <w:rsid w:val="00B7362E"/>
    <w:rsid w:val="00B74E42"/>
    <w:rsid w:val="00B7702C"/>
    <w:rsid w:val="00B77CE3"/>
    <w:rsid w:val="00B85B39"/>
    <w:rsid w:val="00B86050"/>
    <w:rsid w:val="00B90738"/>
    <w:rsid w:val="00BA68C8"/>
    <w:rsid w:val="00BE021B"/>
    <w:rsid w:val="00BE14BC"/>
    <w:rsid w:val="00BE405B"/>
    <w:rsid w:val="00BE6C61"/>
    <w:rsid w:val="00BF2F0C"/>
    <w:rsid w:val="00C200FB"/>
    <w:rsid w:val="00C23116"/>
    <w:rsid w:val="00C31CF4"/>
    <w:rsid w:val="00C40636"/>
    <w:rsid w:val="00C41AD0"/>
    <w:rsid w:val="00C41CE8"/>
    <w:rsid w:val="00C50075"/>
    <w:rsid w:val="00C50E28"/>
    <w:rsid w:val="00C511EB"/>
    <w:rsid w:val="00C57171"/>
    <w:rsid w:val="00C73AA9"/>
    <w:rsid w:val="00C94C09"/>
    <w:rsid w:val="00C95B22"/>
    <w:rsid w:val="00C96735"/>
    <w:rsid w:val="00CA61E3"/>
    <w:rsid w:val="00CA7B58"/>
    <w:rsid w:val="00CC6BE3"/>
    <w:rsid w:val="00CC6FBE"/>
    <w:rsid w:val="00CD3501"/>
    <w:rsid w:val="00CE19A1"/>
    <w:rsid w:val="00CE2E77"/>
    <w:rsid w:val="00CE4798"/>
    <w:rsid w:val="00CE50E6"/>
    <w:rsid w:val="00CE5F24"/>
    <w:rsid w:val="00CF1DAE"/>
    <w:rsid w:val="00CF3A80"/>
    <w:rsid w:val="00CF560D"/>
    <w:rsid w:val="00D00C0F"/>
    <w:rsid w:val="00D05067"/>
    <w:rsid w:val="00D214B9"/>
    <w:rsid w:val="00D26824"/>
    <w:rsid w:val="00D4259F"/>
    <w:rsid w:val="00D45B3B"/>
    <w:rsid w:val="00D51148"/>
    <w:rsid w:val="00D60DBF"/>
    <w:rsid w:val="00D62C63"/>
    <w:rsid w:val="00D75919"/>
    <w:rsid w:val="00D915E7"/>
    <w:rsid w:val="00D91D1D"/>
    <w:rsid w:val="00DA1817"/>
    <w:rsid w:val="00DA66E1"/>
    <w:rsid w:val="00DC1D32"/>
    <w:rsid w:val="00DC2372"/>
    <w:rsid w:val="00DC405C"/>
    <w:rsid w:val="00DE569F"/>
    <w:rsid w:val="00DF5284"/>
    <w:rsid w:val="00E142EE"/>
    <w:rsid w:val="00E1436A"/>
    <w:rsid w:val="00E20CC2"/>
    <w:rsid w:val="00E22045"/>
    <w:rsid w:val="00E2498E"/>
    <w:rsid w:val="00E27527"/>
    <w:rsid w:val="00E32EA4"/>
    <w:rsid w:val="00E35889"/>
    <w:rsid w:val="00E366B8"/>
    <w:rsid w:val="00E43CF0"/>
    <w:rsid w:val="00E45952"/>
    <w:rsid w:val="00E60E3D"/>
    <w:rsid w:val="00E756AF"/>
    <w:rsid w:val="00E814E3"/>
    <w:rsid w:val="00E8227B"/>
    <w:rsid w:val="00E938C8"/>
    <w:rsid w:val="00E942B5"/>
    <w:rsid w:val="00E945F8"/>
    <w:rsid w:val="00E94ED4"/>
    <w:rsid w:val="00EA15BF"/>
    <w:rsid w:val="00EB37B7"/>
    <w:rsid w:val="00EC686A"/>
    <w:rsid w:val="00ED3648"/>
    <w:rsid w:val="00EE0555"/>
    <w:rsid w:val="00EE60FE"/>
    <w:rsid w:val="00EF3960"/>
    <w:rsid w:val="00F12D13"/>
    <w:rsid w:val="00F17C28"/>
    <w:rsid w:val="00F25F47"/>
    <w:rsid w:val="00F26412"/>
    <w:rsid w:val="00F30D93"/>
    <w:rsid w:val="00F37282"/>
    <w:rsid w:val="00F54A6E"/>
    <w:rsid w:val="00F6187B"/>
    <w:rsid w:val="00F66802"/>
    <w:rsid w:val="00F668C0"/>
    <w:rsid w:val="00F7387C"/>
    <w:rsid w:val="00F74EAC"/>
    <w:rsid w:val="00F83A0C"/>
    <w:rsid w:val="00F90A50"/>
    <w:rsid w:val="00F92534"/>
    <w:rsid w:val="00FA66F8"/>
    <w:rsid w:val="00FA6F1B"/>
    <w:rsid w:val="00FB4238"/>
    <w:rsid w:val="00FD192F"/>
    <w:rsid w:val="00FD6AD1"/>
    <w:rsid w:val="00FF26A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8932A276-8445-4AC8-A705-35E995E3D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7CF06-965D-489A-A1EA-F9657847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TotalTime>
  <Pages>2</Pages>
  <Words>688</Words>
  <Characters>3924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차한/선임연구원/미래기술센터 C&amp;M표준(연)5G무선통신표준Task(han.cha@lge.com)</cp:lastModifiedBy>
  <cp:revision>14</cp:revision>
  <cp:lastPrinted>2014-08-09T03:01:00Z</cp:lastPrinted>
  <dcterms:created xsi:type="dcterms:W3CDTF">2022-01-11T10:47:00Z</dcterms:created>
  <dcterms:modified xsi:type="dcterms:W3CDTF">2022-01-11T11:56:00Z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